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38"/>
        <w:gridCol w:w="2268"/>
        <w:gridCol w:w="6350"/>
      </w:tblGrid>
      <w:tr w:rsidR="004C2602" w:rsidRPr="00A642FB">
        <w:tc>
          <w:tcPr>
            <w:tcW w:w="1838" w:type="dxa"/>
          </w:tcPr>
          <w:p w:rsidR="004C2602" w:rsidRPr="00A642FB" w:rsidRDefault="004C2602" w:rsidP="00A642FB">
            <w:pPr>
              <w:jc w:val="center"/>
              <w:rPr>
                <w:rFonts w:cs="Times New Roman"/>
              </w:rPr>
            </w:pPr>
            <w:r w:rsidRPr="00A642FB">
              <w:rPr>
                <w:rFonts w:cs="新細明體" w:hint="eastAsia"/>
              </w:rPr>
              <w:t>講解人</w:t>
            </w:r>
          </w:p>
        </w:tc>
        <w:tc>
          <w:tcPr>
            <w:tcW w:w="2268" w:type="dxa"/>
          </w:tcPr>
          <w:p w:rsidR="004C2602" w:rsidRPr="00A642FB" w:rsidRDefault="004C2602" w:rsidP="00A642FB">
            <w:pPr>
              <w:jc w:val="center"/>
              <w:rPr>
                <w:rFonts w:cs="Times New Roman"/>
              </w:rPr>
            </w:pPr>
            <w:r w:rsidRPr="00A642FB">
              <w:rPr>
                <w:rFonts w:cs="新細明體" w:hint="eastAsia"/>
              </w:rPr>
              <w:t>時間地點</w:t>
            </w:r>
          </w:p>
        </w:tc>
        <w:tc>
          <w:tcPr>
            <w:tcW w:w="6350" w:type="dxa"/>
          </w:tcPr>
          <w:p w:rsidR="004C2602" w:rsidRPr="00A642FB" w:rsidRDefault="004C2602" w:rsidP="00A642FB">
            <w:pPr>
              <w:jc w:val="center"/>
              <w:rPr>
                <w:rFonts w:cs="Times New Roman"/>
              </w:rPr>
            </w:pPr>
            <w:r w:rsidRPr="00A642FB">
              <w:rPr>
                <w:rFonts w:cs="新細明體" w:hint="eastAsia"/>
              </w:rPr>
              <w:t>內容</w:t>
            </w:r>
          </w:p>
        </w:tc>
      </w:tr>
      <w:tr w:rsidR="004C2602" w:rsidRPr="00A642FB">
        <w:tc>
          <w:tcPr>
            <w:tcW w:w="1838" w:type="dxa"/>
          </w:tcPr>
          <w:p w:rsidR="004C2602" w:rsidRPr="00A642FB" w:rsidRDefault="004C2602" w:rsidP="00A642FB">
            <w:pPr>
              <w:rPr>
                <w:rFonts w:cs="Times New Roman"/>
              </w:rPr>
            </w:pPr>
            <w:r w:rsidRPr="00A642FB">
              <w:rPr>
                <w:rFonts w:cs="新細明體" w:hint="eastAsia"/>
              </w:rPr>
              <w:t>長青會長</w:t>
            </w:r>
          </w:p>
          <w:p w:rsidR="004C2602" w:rsidRPr="00A642FB" w:rsidRDefault="004C2602" w:rsidP="00A642FB">
            <w:pPr>
              <w:rPr>
                <w:rFonts w:cs="Times New Roman"/>
              </w:rPr>
            </w:pPr>
            <w:r w:rsidRPr="00A642FB">
              <w:rPr>
                <w:rFonts w:cs="新細明體" w:hint="eastAsia"/>
              </w:rPr>
              <w:t>林月女</w:t>
            </w:r>
          </w:p>
        </w:tc>
        <w:tc>
          <w:tcPr>
            <w:tcW w:w="2268" w:type="dxa"/>
          </w:tcPr>
          <w:p w:rsidR="004C2602" w:rsidRPr="00A642FB" w:rsidRDefault="004C2602" w:rsidP="00A642FB">
            <w:pPr>
              <w:rPr>
                <w:rFonts w:cs="Times New Roman"/>
              </w:rPr>
            </w:pPr>
            <w:r w:rsidRPr="00A642FB">
              <w:rPr>
                <w:rFonts w:ascii="標楷體" w:eastAsia="標楷體" w:hAnsi="標楷體" w:cs="標楷體" w:hint="eastAsia"/>
                <w:sz w:val="28"/>
                <w:szCs w:val="28"/>
              </w:rPr>
              <w:t>崎頂新樂園綠能生活渡假村</w:t>
            </w:r>
          </w:p>
        </w:tc>
        <w:tc>
          <w:tcPr>
            <w:tcW w:w="6350" w:type="dxa"/>
          </w:tcPr>
          <w:p w:rsidR="004C2602" w:rsidRPr="004549E9" w:rsidRDefault="004C2602" w:rsidP="00A642FB">
            <w:pPr>
              <w:widowControl/>
              <w:spacing w:after="150" w:line="480" w:lineRule="atLeast"/>
              <w:outlineLvl w:val="2"/>
              <w:rPr>
                <w:rFonts w:ascii="新細明體" w:cs="新細明體"/>
                <w:caps/>
                <w:color w:val="000000"/>
                <w:spacing w:val="60"/>
                <w:kern w:val="0"/>
              </w:rPr>
            </w:pPr>
            <w:r w:rsidRPr="004549E9">
              <w:rPr>
                <w:rFonts w:ascii="新細明體" w:hAnsi="新細明體" w:cs="新細明體" w:hint="eastAsia"/>
                <w:caps/>
                <w:color w:val="000000"/>
                <w:spacing w:val="60"/>
                <w:kern w:val="0"/>
              </w:rPr>
              <w:t>萬</w:t>
            </w:r>
            <w:r w:rsidRPr="004549E9">
              <w:rPr>
                <w:rFonts w:ascii="新細明體" w:hAnsi="新細明體" w:cs="新細明體" w:hint="eastAsia"/>
                <w:color w:val="000000"/>
                <w:spacing w:val="15"/>
                <w:kern w:val="0"/>
              </w:rPr>
              <w:t>象藝術國際事業有限公司致力於雜技、特技、民俗、文化交流為主要任務，以建立獨特地方傳統風情，推廣記錄及脈絡傳承為目標，作為國際交流與兩岸文化傳習之橋樑，為迎接台灣旅遊的蓬勃發展期，計畫將國民旅遊市場帶到與文化與藝術展演相融合的新里程與促進下列目標：從民間社團交流推動相互尊重與了解。</w:t>
            </w:r>
          </w:p>
        </w:tc>
      </w:tr>
      <w:tr w:rsidR="004C2602" w:rsidRPr="00A642FB">
        <w:tc>
          <w:tcPr>
            <w:tcW w:w="1838" w:type="dxa"/>
          </w:tcPr>
          <w:p w:rsidR="004C2602" w:rsidRPr="00A642FB" w:rsidRDefault="004C2602" w:rsidP="00A642FB">
            <w:pPr>
              <w:rPr>
                <w:rFonts w:cs="Times New Roman"/>
              </w:rPr>
            </w:pPr>
            <w:r w:rsidRPr="00A642FB">
              <w:rPr>
                <w:rFonts w:cs="新細明體" w:hint="eastAsia"/>
              </w:rPr>
              <w:t>總幹事</w:t>
            </w:r>
          </w:p>
          <w:p w:rsidR="004C2602" w:rsidRPr="00A642FB" w:rsidRDefault="004C2602" w:rsidP="00A642FB">
            <w:pPr>
              <w:rPr>
                <w:rFonts w:cs="Times New Roman"/>
              </w:rPr>
            </w:pPr>
            <w:r w:rsidRPr="00A642FB">
              <w:rPr>
                <w:rFonts w:cs="新細明體" w:hint="eastAsia"/>
              </w:rPr>
              <w:t>黃惠珍</w:t>
            </w:r>
          </w:p>
        </w:tc>
        <w:tc>
          <w:tcPr>
            <w:tcW w:w="2268" w:type="dxa"/>
          </w:tcPr>
          <w:p w:rsidR="004C2602" w:rsidRPr="00A642FB" w:rsidRDefault="004C2602" w:rsidP="00A642FB">
            <w:pPr>
              <w:rPr>
                <w:rFonts w:ascii="標楷體" w:eastAsia="標楷體" w:hAnsi="標楷體" w:cs="Times New Roman"/>
                <w:sz w:val="28"/>
                <w:szCs w:val="28"/>
              </w:rPr>
            </w:pPr>
            <w:r w:rsidRPr="00A642FB">
              <w:rPr>
                <w:rFonts w:ascii="標楷體" w:eastAsia="標楷體" w:hAnsi="標楷體" w:cs="標楷體" w:hint="eastAsia"/>
                <w:sz w:val="28"/>
                <w:szCs w:val="28"/>
              </w:rPr>
              <w:t>臺鹽實業公司通霄精鹽館觀光工廠</w:t>
            </w:r>
          </w:p>
        </w:tc>
        <w:tc>
          <w:tcPr>
            <w:tcW w:w="6350" w:type="dxa"/>
          </w:tcPr>
          <w:p w:rsidR="004C2602" w:rsidRDefault="004C2602" w:rsidP="00A642FB">
            <w:pPr>
              <w:rPr>
                <w:rFonts w:ascii="Verdana" w:hAnsi="Verdana" w:cs="Verdana"/>
                <w:color w:val="000000"/>
                <w:shd w:val="clear" w:color="auto" w:fill="FFFFFF"/>
              </w:rPr>
            </w:pPr>
            <w:r w:rsidRPr="00A642FB">
              <w:rPr>
                <w:rFonts w:ascii="Verdana" w:hAnsi="Verdana" w:cs="新細明體" w:hint="eastAsia"/>
                <w:color w:val="000000"/>
                <w:shd w:val="clear" w:color="auto" w:fill="FFFFFF"/>
              </w:rPr>
              <w:t>台灣鹽業原係採用傳統日晒法，為提昇國人用鹽品質，政府引進日本先進離子交換膜電透析製鹽法，先於精選之海域環境汲取天然海水，經過濾去除懸浮雜質後再使用精密離子交換膜（可抑制重金屬、高分子清潔劑、界面活性劑等有害人體之污染物質透過）電透析濃縮及加熱蒸發結晶，經高溫乾燥後生產，並於六十四年六月完成通霄精鹽廠建廠，供應全國鹽品需求。</w:t>
            </w:r>
          </w:p>
          <w:p w:rsidR="004C2602" w:rsidRPr="009D4EF9" w:rsidRDefault="004C2602" w:rsidP="00A642FB">
            <w:pPr>
              <w:rPr>
                <w:rFonts w:ascii="Verdana" w:hAnsi="Verdana" w:cs="Verdana"/>
                <w:color w:val="000000"/>
                <w:shd w:val="clear" w:color="auto" w:fill="FFFFFF"/>
              </w:rPr>
            </w:pPr>
            <w:r w:rsidRPr="00044352">
              <w:rPr>
                <w:rFonts w:ascii="Verdana" w:hAnsi="Verdana" w:cs="新細明體" w:hint="eastAsia"/>
                <w:color w:val="000000"/>
                <w:kern w:val="0"/>
              </w:rPr>
              <w:t>為結合本廠獨特產鹽製程、週邊旅遊景點及臨近觀光工廠成為一兼具教育與休閒之帶狀景點，提供民眾一個感性休閒與知性教育之場所，於民國</w:t>
            </w:r>
            <w:r w:rsidRPr="00044352">
              <w:rPr>
                <w:rFonts w:ascii="Verdana" w:hAnsi="Verdana" w:cs="Verdana"/>
                <w:color w:val="000000"/>
                <w:kern w:val="0"/>
              </w:rPr>
              <w:t>100</w:t>
            </w:r>
            <w:r w:rsidRPr="00044352">
              <w:rPr>
                <w:rFonts w:ascii="Verdana" w:hAnsi="Verdana" w:cs="新細明體" w:hint="eastAsia"/>
                <w:color w:val="000000"/>
                <w:kern w:val="0"/>
              </w:rPr>
              <w:t>年成立台鹽通霄觀光工廠。廠區設有鹽來館、海洋溫泉泡腳區、廠區導覽與體驗活動等服務及設施，成為全台唯一結合高科技精鹽生產與鹽業教育之觀光工廠。</w:t>
            </w:r>
          </w:p>
        </w:tc>
      </w:tr>
      <w:tr w:rsidR="004C2602" w:rsidRPr="00A642FB">
        <w:trPr>
          <w:trHeight w:val="4101"/>
        </w:trPr>
        <w:tc>
          <w:tcPr>
            <w:tcW w:w="1838" w:type="dxa"/>
          </w:tcPr>
          <w:p w:rsidR="004C2602" w:rsidRPr="00A642FB" w:rsidRDefault="004C2602" w:rsidP="00A642FB">
            <w:pPr>
              <w:rPr>
                <w:rFonts w:cs="Times New Roman"/>
              </w:rPr>
            </w:pPr>
            <w:r w:rsidRPr="00A642FB">
              <w:rPr>
                <w:rFonts w:cs="新細明體" w:hint="eastAsia"/>
              </w:rPr>
              <w:t>長青會長</w:t>
            </w:r>
          </w:p>
          <w:p w:rsidR="004C2602" w:rsidRPr="00A642FB" w:rsidRDefault="004C2602" w:rsidP="00A642FB">
            <w:pPr>
              <w:rPr>
                <w:rFonts w:cs="Times New Roman"/>
              </w:rPr>
            </w:pPr>
            <w:r w:rsidRPr="00A642FB">
              <w:rPr>
                <w:rFonts w:cs="新細明體" w:hint="eastAsia"/>
              </w:rPr>
              <w:t>林月女</w:t>
            </w:r>
          </w:p>
        </w:tc>
        <w:tc>
          <w:tcPr>
            <w:tcW w:w="2268" w:type="dxa"/>
          </w:tcPr>
          <w:p w:rsidR="004C2602" w:rsidRPr="00A642FB" w:rsidRDefault="004C2602" w:rsidP="00A642FB">
            <w:pPr>
              <w:rPr>
                <w:rFonts w:cs="Times New Roman"/>
              </w:rPr>
            </w:pPr>
            <w:r w:rsidRPr="00A642FB">
              <w:rPr>
                <w:rFonts w:ascii="標楷體" w:eastAsia="標楷體" w:hAnsi="標楷體" w:cs="標楷體" w:hint="eastAsia"/>
                <w:sz w:val="28"/>
                <w:szCs w:val="28"/>
              </w:rPr>
              <w:t>台中梧棲漁港</w:t>
            </w:r>
          </w:p>
        </w:tc>
        <w:tc>
          <w:tcPr>
            <w:tcW w:w="6350" w:type="dxa"/>
          </w:tcPr>
          <w:p w:rsidR="004C2602" w:rsidRPr="00A642FB" w:rsidRDefault="004C2602" w:rsidP="00A642FB">
            <w:pPr>
              <w:rPr>
                <w:rFonts w:cs="Times New Roman"/>
              </w:rPr>
            </w:pPr>
            <w:r w:rsidRPr="00A642FB">
              <w:rPr>
                <w:rFonts w:ascii="Arial" w:hAnsi="Arial" w:cs="新細明體" w:hint="eastAsia"/>
                <w:color w:val="000000"/>
                <w:shd w:val="clear" w:color="auto" w:fill="FFFFFF"/>
              </w:rPr>
              <w:t>梧棲漁港是位於</w:t>
            </w:r>
            <w:hyperlink r:id="rId5" w:tooltip="臺灣" w:history="1">
              <w:r w:rsidRPr="00A642FB">
                <w:rPr>
                  <w:rStyle w:val="Hyperlink"/>
                  <w:rFonts w:ascii="Arial" w:hAnsi="Arial" w:cs="新細明體" w:hint="eastAsia"/>
                  <w:color w:val="000000"/>
                  <w:u w:val="none"/>
                  <w:shd w:val="clear" w:color="auto" w:fill="FFFFFF"/>
                </w:rPr>
                <w:t>臺灣</w:t>
              </w:r>
            </w:hyperlink>
            <w:hyperlink r:id="rId6" w:tooltip="臺中市" w:history="1">
              <w:r w:rsidRPr="00A642FB">
                <w:rPr>
                  <w:rStyle w:val="Hyperlink"/>
                  <w:rFonts w:ascii="Arial" w:hAnsi="Arial" w:cs="新細明體" w:hint="eastAsia"/>
                  <w:color w:val="000000"/>
                  <w:u w:val="none"/>
                  <w:shd w:val="clear" w:color="auto" w:fill="FFFFFF"/>
                </w:rPr>
                <w:t>臺中市</w:t>
              </w:r>
            </w:hyperlink>
            <w:hyperlink r:id="rId7" w:tooltip="清水區 (臺灣)" w:history="1">
              <w:r w:rsidRPr="00A642FB">
                <w:rPr>
                  <w:rStyle w:val="Hyperlink"/>
                  <w:rFonts w:ascii="Arial" w:hAnsi="Arial" w:cs="新細明體" w:hint="eastAsia"/>
                  <w:color w:val="000000"/>
                  <w:u w:val="none"/>
                  <w:shd w:val="clear" w:color="auto" w:fill="FFFFFF"/>
                </w:rPr>
                <w:t>清水區</w:t>
              </w:r>
            </w:hyperlink>
            <w:r w:rsidRPr="00A642FB">
              <w:rPr>
                <w:rFonts w:ascii="Arial" w:hAnsi="Arial" w:cs="新細明體" w:hint="eastAsia"/>
                <w:color w:val="000000"/>
                <w:shd w:val="clear" w:color="auto" w:fill="FFFFFF"/>
              </w:rPr>
              <w:t>，在民國七十八年（</w:t>
            </w:r>
            <w:r w:rsidRPr="00A642FB">
              <w:rPr>
                <w:rFonts w:ascii="Arial" w:hAnsi="Arial" w:cs="Arial"/>
                <w:color w:val="000000"/>
                <w:shd w:val="clear" w:color="auto" w:fill="FFFFFF"/>
              </w:rPr>
              <w:t>1989</w:t>
            </w:r>
            <w:r w:rsidRPr="00A642FB">
              <w:rPr>
                <w:rFonts w:ascii="Arial" w:hAnsi="Arial" w:cs="新細明體" w:hint="eastAsia"/>
                <w:color w:val="000000"/>
                <w:shd w:val="clear" w:color="auto" w:fill="FFFFFF"/>
              </w:rPr>
              <w:t>年）開放自由小三通後，人潮漸漸增多，原為小型漁村，因政府徵收了附近的海埔地，兼顧漁業的發展與契合社會的需求，將漁港朝生產、休閒、觀光方向發展，現在的管理單位為</w:t>
            </w:r>
            <w:hyperlink r:id="rId8" w:tooltip="農委會" w:history="1">
              <w:r w:rsidRPr="00A642FB">
                <w:rPr>
                  <w:rStyle w:val="Hyperlink"/>
                  <w:rFonts w:ascii="Arial" w:hAnsi="Arial" w:cs="新細明體" w:hint="eastAsia"/>
                  <w:color w:val="000000"/>
                  <w:u w:val="none"/>
                  <w:shd w:val="clear" w:color="auto" w:fill="FFFFFF"/>
                </w:rPr>
                <w:t>農委會</w:t>
              </w:r>
            </w:hyperlink>
            <w:hyperlink r:id="rId9" w:tooltip="漁業署" w:history="1">
              <w:r w:rsidRPr="00A642FB">
                <w:rPr>
                  <w:rStyle w:val="Hyperlink"/>
                  <w:rFonts w:ascii="Arial" w:hAnsi="Arial" w:cs="新細明體" w:hint="eastAsia"/>
                  <w:color w:val="000000"/>
                  <w:u w:val="none"/>
                  <w:shd w:val="clear" w:color="auto" w:fill="FFFFFF"/>
                </w:rPr>
                <w:t>漁業署</w:t>
              </w:r>
            </w:hyperlink>
            <w:r w:rsidRPr="00A642FB">
              <w:rPr>
                <w:rFonts w:ascii="Arial" w:hAnsi="Arial" w:cs="新細明體" w:hint="eastAsia"/>
                <w:color w:val="000000"/>
                <w:shd w:val="clear" w:color="auto" w:fill="FFFFFF"/>
              </w:rPr>
              <w:t>，屬於</w:t>
            </w:r>
            <w:hyperlink r:id="rId10" w:tooltip="第一類漁港（頁面不存在）" w:history="1">
              <w:r w:rsidRPr="00A642FB">
                <w:rPr>
                  <w:rStyle w:val="Hyperlink"/>
                  <w:rFonts w:ascii="Arial" w:hAnsi="Arial" w:cs="新細明體" w:hint="eastAsia"/>
                  <w:color w:val="000000"/>
                  <w:u w:val="none"/>
                  <w:shd w:val="clear" w:color="auto" w:fill="FFFFFF"/>
                </w:rPr>
                <w:t>第一類漁港</w:t>
              </w:r>
            </w:hyperlink>
            <w:r w:rsidRPr="00A642FB">
              <w:rPr>
                <w:rFonts w:ascii="Arial" w:hAnsi="Arial" w:cs="新細明體" w:hint="eastAsia"/>
                <w:color w:val="000000"/>
                <w:shd w:val="clear" w:color="auto" w:fill="FFFFFF"/>
              </w:rPr>
              <w:t>。梧棲漁港是</w:t>
            </w:r>
            <w:hyperlink r:id="rId11" w:tooltip="中台灣" w:history="1">
              <w:r w:rsidRPr="00A642FB">
                <w:rPr>
                  <w:rStyle w:val="Hyperlink"/>
                  <w:rFonts w:ascii="Arial" w:hAnsi="Arial" w:cs="新細明體" w:hint="eastAsia"/>
                  <w:color w:val="000000"/>
                  <w:u w:val="none"/>
                  <w:shd w:val="clear" w:color="auto" w:fill="FFFFFF"/>
                </w:rPr>
                <w:t>中部</w:t>
              </w:r>
            </w:hyperlink>
            <w:r w:rsidRPr="00A642FB">
              <w:rPr>
                <w:rFonts w:ascii="Arial" w:hAnsi="Arial" w:cs="新細明體" w:hint="eastAsia"/>
                <w:color w:val="000000"/>
                <w:shd w:val="clear" w:color="auto" w:fill="FFFFFF"/>
              </w:rPr>
              <w:t>重要的漁業港口，也是休閒觀光的海港又稱「梧棲假日觀光漁市」。在冬至前後這熱鬧的季節，都湧進各地捕撈烏魚的船，最多可達三、四百艘；港區首創全國規模最大的魚貨直銷中心，設有魚貨直銷區</w:t>
            </w:r>
            <w:r w:rsidRPr="00A642FB">
              <w:rPr>
                <w:rFonts w:ascii="Arial" w:hAnsi="Arial" w:cs="Arial"/>
                <w:color w:val="000000"/>
                <w:shd w:val="clear" w:color="auto" w:fill="FFFFFF"/>
              </w:rPr>
              <w:t>128</w:t>
            </w:r>
            <w:r w:rsidRPr="00A642FB">
              <w:rPr>
                <w:rFonts w:ascii="Arial" w:hAnsi="Arial" w:cs="新細明體" w:hint="eastAsia"/>
                <w:color w:val="000000"/>
                <w:shd w:val="clear" w:color="auto" w:fill="FFFFFF"/>
              </w:rPr>
              <w:t>個、漁民銷售區</w:t>
            </w:r>
            <w:r w:rsidRPr="00A642FB">
              <w:rPr>
                <w:rFonts w:ascii="Arial" w:hAnsi="Arial" w:cs="Arial"/>
                <w:color w:val="000000"/>
                <w:shd w:val="clear" w:color="auto" w:fill="FFFFFF"/>
              </w:rPr>
              <w:t>73</w:t>
            </w:r>
            <w:r w:rsidRPr="00A642FB">
              <w:rPr>
                <w:rFonts w:ascii="Arial" w:hAnsi="Arial" w:cs="新細明體" w:hint="eastAsia"/>
                <w:color w:val="000000"/>
                <w:shd w:val="clear" w:color="auto" w:fill="FFFFFF"/>
              </w:rPr>
              <w:t>個、餐飲區</w:t>
            </w:r>
            <w:r w:rsidRPr="00A642FB">
              <w:rPr>
                <w:rFonts w:ascii="Arial" w:hAnsi="Arial" w:cs="Arial"/>
                <w:color w:val="000000"/>
                <w:shd w:val="clear" w:color="auto" w:fill="FFFFFF"/>
              </w:rPr>
              <w:t>12</w:t>
            </w:r>
            <w:r w:rsidRPr="00A642FB">
              <w:rPr>
                <w:rFonts w:ascii="Arial" w:hAnsi="Arial" w:cs="新細明體" w:hint="eastAsia"/>
                <w:color w:val="000000"/>
                <w:shd w:val="clear" w:color="auto" w:fill="FFFFFF"/>
              </w:rPr>
              <w:t>以上個、娛樂漁船、休憩公園及漁港周邊好遊等區，共計</w:t>
            </w:r>
            <w:r w:rsidRPr="00A642FB">
              <w:rPr>
                <w:rFonts w:ascii="Arial" w:hAnsi="Arial" w:cs="Arial"/>
                <w:color w:val="000000"/>
                <w:shd w:val="clear" w:color="auto" w:fill="FFFFFF"/>
              </w:rPr>
              <w:t>210</w:t>
            </w:r>
            <w:r w:rsidRPr="00A642FB">
              <w:rPr>
                <w:rFonts w:ascii="Arial" w:hAnsi="Arial" w:cs="新細明體" w:hint="eastAsia"/>
                <w:color w:val="000000"/>
                <w:shd w:val="clear" w:color="auto" w:fill="FFFFFF"/>
              </w:rPr>
              <w:t>多個據點，朝向多元化周邊經營</w:t>
            </w:r>
          </w:p>
        </w:tc>
      </w:tr>
      <w:tr w:rsidR="004C2602" w:rsidRPr="00A642FB">
        <w:trPr>
          <w:trHeight w:val="2045"/>
        </w:trPr>
        <w:tc>
          <w:tcPr>
            <w:tcW w:w="1838" w:type="dxa"/>
          </w:tcPr>
          <w:p w:rsidR="004C2602" w:rsidRPr="00A642FB" w:rsidRDefault="004C2602" w:rsidP="00A642FB">
            <w:pPr>
              <w:rPr>
                <w:rFonts w:cs="Times New Roman"/>
              </w:rPr>
            </w:pPr>
            <w:r w:rsidRPr="00A642FB">
              <w:rPr>
                <w:rFonts w:cs="新細明體" w:hint="eastAsia"/>
              </w:rPr>
              <w:t>長青會長</w:t>
            </w:r>
          </w:p>
          <w:p w:rsidR="004C2602" w:rsidRPr="00A642FB" w:rsidRDefault="004C2602" w:rsidP="00A642FB">
            <w:pPr>
              <w:rPr>
                <w:rFonts w:cs="Times New Roman"/>
              </w:rPr>
            </w:pPr>
            <w:r w:rsidRPr="00A642FB">
              <w:rPr>
                <w:rFonts w:cs="新細明體" w:hint="eastAsia"/>
              </w:rPr>
              <w:t>林月女</w:t>
            </w:r>
          </w:p>
        </w:tc>
        <w:tc>
          <w:tcPr>
            <w:tcW w:w="2268" w:type="dxa"/>
          </w:tcPr>
          <w:p w:rsidR="004C2602" w:rsidRPr="00A642FB" w:rsidRDefault="004C2602" w:rsidP="00A642FB">
            <w:pPr>
              <w:rPr>
                <w:rFonts w:ascii="標楷體" w:eastAsia="標楷體" w:hAnsi="標楷體" w:cs="Times New Roman"/>
                <w:sz w:val="28"/>
                <w:szCs w:val="28"/>
              </w:rPr>
            </w:pPr>
          </w:p>
        </w:tc>
        <w:tc>
          <w:tcPr>
            <w:tcW w:w="6350" w:type="dxa"/>
          </w:tcPr>
          <w:p w:rsidR="004C2602" w:rsidRPr="00A642FB" w:rsidRDefault="004C2602" w:rsidP="00A642FB">
            <w:pPr>
              <w:rPr>
                <w:rFonts w:ascii="Arial" w:hAnsi="Arial" w:cs="Arial"/>
                <w:color w:val="000000"/>
                <w:shd w:val="clear" w:color="auto" w:fill="FFFFFF"/>
              </w:rPr>
            </w:pPr>
            <w:r w:rsidRPr="00A642FB">
              <w:rPr>
                <w:rFonts w:ascii="Arial" w:hAnsi="Arial" w:cs="新細明體" w:hint="eastAsia"/>
                <w:color w:val="000000"/>
                <w:shd w:val="clear" w:color="auto" w:fill="FFFFFF"/>
              </w:rPr>
              <w:t>預期效益</w:t>
            </w:r>
            <w:r w:rsidRPr="00A642FB">
              <w:rPr>
                <w:rFonts w:ascii="新細明體" w:hAnsi="新細明體" w:cs="新細明體" w:hint="eastAsia"/>
                <w:color w:val="000000"/>
                <w:shd w:val="clear" w:color="auto" w:fill="FFFFFF"/>
              </w:rPr>
              <w:t>：</w:t>
            </w:r>
          </w:p>
          <w:p w:rsidR="004C2602" w:rsidRPr="00A642FB" w:rsidRDefault="004C2602" w:rsidP="00A642FB">
            <w:pPr>
              <w:pStyle w:val="ListParagraph"/>
              <w:numPr>
                <w:ilvl w:val="0"/>
                <w:numId w:val="1"/>
              </w:numPr>
              <w:ind w:leftChars="0"/>
              <w:rPr>
                <w:rFonts w:ascii="Arial" w:hAnsi="Arial" w:cs="Arial"/>
                <w:color w:val="000000"/>
                <w:shd w:val="clear" w:color="auto" w:fill="FFFFFF"/>
              </w:rPr>
            </w:pPr>
            <w:r w:rsidRPr="00A642FB">
              <w:rPr>
                <w:rFonts w:ascii="Arial" w:hAnsi="Arial" w:cs="新細明體" w:hint="eastAsia"/>
                <w:color w:val="000000"/>
                <w:shd w:val="clear" w:color="auto" w:fill="FFFFFF"/>
              </w:rPr>
              <w:t>透過文化交流推廣社團以建立獨特地方風格</w:t>
            </w:r>
            <w:r w:rsidRPr="00A642FB">
              <w:rPr>
                <w:rFonts w:ascii="新細明體" w:hAnsi="新細明體" w:cs="新細明體" w:hint="eastAsia"/>
                <w:color w:val="000000"/>
                <w:shd w:val="clear" w:color="auto" w:fill="FFFFFF"/>
              </w:rPr>
              <w:t>。</w:t>
            </w:r>
          </w:p>
          <w:p w:rsidR="004C2602" w:rsidRPr="00A642FB" w:rsidRDefault="004C2602" w:rsidP="00A642FB">
            <w:pPr>
              <w:pStyle w:val="ListParagraph"/>
              <w:numPr>
                <w:ilvl w:val="0"/>
                <w:numId w:val="1"/>
              </w:numPr>
              <w:ind w:leftChars="0"/>
              <w:rPr>
                <w:rFonts w:ascii="Arial" w:hAnsi="Arial" w:cs="Arial"/>
                <w:color w:val="000000"/>
                <w:shd w:val="clear" w:color="auto" w:fill="FFFFFF"/>
              </w:rPr>
            </w:pPr>
            <w:r w:rsidRPr="00A642FB">
              <w:rPr>
                <w:rFonts w:ascii="Arial" w:hAnsi="Arial" w:cs="新細明體" w:hint="eastAsia"/>
                <w:color w:val="000000"/>
                <w:shd w:val="clear" w:color="auto" w:fill="FFFFFF"/>
              </w:rPr>
              <w:t>透過參觀觀光工廠以建立社團推廣地方特色之目標</w:t>
            </w:r>
            <w:r w:rsidRPr="00A642FB">
              <w:rPr>
                <w:rFonts w:ascii="新細明體" w:hAnsi="新細明體" w:cs="新細明體" w:hint="eastAsia"/>
                <w:color w:val="000000"/>
                <w:shd w:val="clear" w:color="auto" w:fill="FFFFFF"/>
              </w:rPr>
              <w:t>。</w:t>
            </w:r>
          </w:p>
          <w:p w:rsidR="004C2602" w:rsidRPr="00A642FB" w:rsidRDefault="004C2602" w:rsidP="00A642FB">
            <w:pPr>
              <w:pStyle w:val="ListParagraph"/>
              <w:numPr>
                <w:ilvl w:val="0"/>
                <w:numId w:val="1"/>
              </w:numPr>
              <w:ind w:leftChars="0"/>
              <w:rPr>
                <w:rFonts w:ascii="Arial" w:hAnsi="Arial" w:cs="Arial"/>
                <w:color w:val="000000"/>
                <w:shd w:val="clear" w:color="auto" w:fill="FFFFFF"/>
              </w:rPr>
            </w:pPr>
            <w:r w:rsidRPr="00A642FB">
              <w:rPr>
                <w:rFonts w:ascii="Arial" w:hAnsi="Arial" w:cs="新細明體" w:hint="eastAsia"/>
                <w:color w:val="000000"/>
                <w:shd w:val="clear" w:color="auto" w:fill="FFFFFF"/>
              </w:rPr>
              <w:t>透過休閒觀光漁港以建立社區多元化周邊經營</w:t>
            </w:r>
            <w:r w:rsidRPr="00A642FB">
              <w:rPr>
                <w:rFonts w:ascii="新細明體" w:hAnsi="新細明體" w:cs="新細明體" w:hint="eastAsia"/>
                <w:color w:val="000000"/>
                <w:shd w:val="clear" w:color="auto" w:fill="FFFFFF"/>
              </w:rPr>
              <w:t>。</w:t>
            </w:r>
            <w:bookmarkStart w:id="0" w:name="_GoBack"/>
            <w:bookmarkEnd w:id="0"/>
          </w:p>
        </w:tc>
      </w:tr>
    </w:tbl>
    <w:p w:rsidR="004C2602" w:rsidRDefault="004C2602">
      <w:r>
        <w:t>108</w:t>
      </w:r>
      <w:r>
        <w:rPr>
          <w:rFonts w:cs="新細明體" w:hint="eastAsia"/>
        </w:rPr>
        <w:t>年褒忠鄉泰安社區發展協會生態研習</w:t>
      </w:r>
      <w:r>
        <w:t xml:space="preserve">    </w:t>
      </w:r>
      <w:r>
        <w:rPr>
          <w:rFonts w:hint="eastAsia"/>
        </w:rPr>
        <w:t>（範本）</w:t>
      </w:r>
      <w:r>
        <w:t xml:space="preserve">           108</w:t>
      </w:r>
      <w:r>
        <w:rPr>
          <w:rFonts w:cs="新細明體" w:hint="eastAsia"/>
        </w:rPr>
        <w:t>年</w:t>
      </w:r>
      <w:r>
        <w:t>03</w:t>
      </w:r>
      <w:r>
        <w:rPr>
          <w:rFonts w:cs="新細明體" w:hint="eastAsia"/>
        </w:rPr>
        <w:t>月</w:t>
      </w:r>
      <w:r>
        <w:t>03</w:t>
      </w:r>
      <w:r>
        <w:rPr>
          <w:rFonts w:cs="新細明體" w:hint="eastAsia"/>
        </w:rPr>
        <w:t>日</w:t>
      </w:r>
      <w:r>
        <w:t xml:space="preserve">     </w:t>
      </w:r>
    </w:p>
    <w:sectPr w:rsidR="004C2602" w:rsidSect="00FF33B7">
      <w:pgSz w:w="11906" w:h="16838"/>
      <w:pgMar w:top="284" w:right="720" w:bottom="284"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F0CF2"/>
    <w:multiLevelType w:val="hybridMultilevel"/>
    <w:tmpl w:val="3B5821AE"/>
    <w:lvl w:ilvl="0" w:tplc="5672D3B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02B2"/>
    <w:rsid w:val="00044352"/>
    <w:rsid w:val="002202B2"/>
    <w:rsid w:val="00322DBE"/>
    <w:rsid w:val="003D3E4C"/>
    <w:rsid w:val="004549E9"/>
    <w:rsid w:val="004C2602"/>
    <w:rsid w:val="004F6AAB"/>
    <w:rsid w:val="00505C30"/>
    <w:rsid w:val="006C7677"/>
    <w:rsid w:val="009D4EF9"/>
    <w:rsid w:val="00A642FB"/>
    <w:rsid w:val="00AC6237"/>
    <w:rsid w:val="00BA473A"/>
    <w:rsid w:val="00BD7CED"/>
    <w:rsid w:val="00F1065E"/>
    <w:rsid w:val="00F61A73"/>
    <w:rsid w:val="00FF33B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77"/>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202B2"/>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BA473A"/>
    <w:rPr>
      <w:rFonts w:cs="Times New Roman"/>
      <w:color w:val="0000FF"/>
      <w:u w:val="single"/>
    </w:rPr>
  </w:style>
  <w:style w:type="paragraph" w:styleId="ListParagraph">
    <w:name w:val="List Paragraph"/>
    <w:basedOn w:val="Normal"/>
    <w:uiPriority w:val="99"/>
    <w:qFormat/>
    <w:rsid w:val="00FF33B7"/>
    <w:pPr>
      <w:ind w:leftChars="200" w:left="480"/>
    </w:pPr>
  </w:style>
</w:styles>
</file>

<file path=word/webSettings.xml><?xml version="1.0" encoding="utf-8"?>
<w:webSettings xmlns:r="http://schemas.openxmlformats.org/officeDocument/2006/relationships" xmlns:w="http://schemas.openxmlformats.org/wordprocessingml/2006/main">
  <w:divs>
    <w:div w:id="1048721467">
      <w:marLeft w:val="0"/>
      <w:marRight w:val="0"/>
      <w:marTop w:val="0"/>
      <w:marBottom w:val="0"/>
      <w:divBdr>
        <w:top w:val="none" w:sz="0" w:space="0" w:color="auto"/>
        <w:left w:val="none" w:sz="0" w:space="0" w:color="auto"/>
        <w:bottom w:val="none" w:sz="0" w:space="0" w:color="auto"/>
        <w:right w:val="none" w:sz="0" w:space="0" w:color="auto"/>
      </w:divBdr>
    </w:div>
    <w:div w:id="10487214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h.wikipedia.org/wiki/%E8%BE%B2%E5%A7%94%E6%9C%8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h.wikipedia.org/wiki/%E6%B8%85%E6%B0%B4%E5%8D%80_(%E8%87%BA%E7%81%A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h.wikipedia.org/wiki/%E8%87%BA%E4%B8%AD%E5%B8%82" TargetMode="External"/><Relationship Id="rId11" Type="http://schemas.openxmlformats.org/officeDocument/2006/relationships/hyperlink" Target="https://zh.wikipedia.org/wiki/%E4%B8%AD%E5%8F%B0%E7%81%A3" TargetMode="External"/><Relationship Id="rId5" Type="http://schemas.openxmlformats.org/officeDocument/2006/relationships/hyperlink" Target="https://zh.wikipedia.org/wiki/%E8%87%BA%E7%81%A3" TargetMode="External"/><Relationship Id="rId10" Type="http://schemas.openxmlformats.org/officeDocument/2006/relationships/hyperlink" Target="https://zh.wikipedia.org/w/index.php?title=%E7%AC%AC%E4%B8%80%E9%A1%9E%E6%BC%81%E6%B8%AF&amp;action=edit&amp;redlink=1" TargetMode="External"/><Relationship Id="rId4" Type="http://schemas.openxmlformats.org/officeDocument/2006/relationships/webSettings" Target="webSettings.xml"/><Relationship Id="rId9" Type="http://schemas.openxmlformats.org/officeDocument/2006/relationships/hyperlink" Target="https://zh.wikipedia.org/wiki/%E6%BC%81%E6%A5%AD%E7%BD%B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TotalTime>
  <Pages>1</Pages>
  <Words>237</Words>
  <Characters>1353</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韋菁 曾</dc:creator>
  <cp:keywords/>
  <dc:description/>
  <cp:lastModifiedBy>ASUS</cp:lastModifiedBy>
  <cp:revision>8</cp:revision>
  <cp:lastPrinted>2019-07-22T01:39:00Z</cp:lastPrinted>
  <dcterms:created xsi:type="dcterms:W3CDTF">2019-05-06T06:25:00Z</dcterms:created>
  <dcterms:modified xsi:type="dcterms:W3CDTF">2019-07-22T01:39:00Z</dcterms:modified>
</cp:coreProperties>
</file>